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e2b77cfda7f4079"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27054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DUBRAVICA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III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249.819,69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297.259,51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298.987,60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277.684,43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19.575,08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54.336,24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267.386,50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51.726,39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264.981,10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512,3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436.239,14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407,7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7.216,10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7.216,10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99.783,90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429.023,04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430,0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183.617,02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Prihodi poslovanja u razdoblju od 1. siječnja do 30. ožujka 2026. godine iznose 297.259,51 €. Najznačajniji dio prihoda poslovanja su prihodi od poreza u iznosu od 221.115,78 €, a ostalo se odnosi na pomoći iz inozemstva i subjekata unutar općeg proračuna, prihode od naknada kao i prihode od prodaje imovine. Ukupni rashodi puslovanja iznose 277.684,43 € koji je ponajviše sastoje od materijalnih rashoda, rashoda za usluge, subvencija za institucije izvan javnog sektora, te rashoda za donacije i kapitalne pomoći. Na kraju izvještajnog razdoblja evidentiran je višak prihoda od poslovanja u iznosu od 19.575,08. U izvještajnom razdoblju ostvareni su prihodi od prodaje nefinancijske imovine koji se odnose na prodaju zemljišta koje je bilo u vlasništvu Općine Dubravica, te značajni rashodi za nabavu nefinancijske imovine koji se ponajviše odnose na realizaciju EU projekta Biciklistička sata SUTLA ROAD, na izradu glavnog projekta Energetska obnova zgade javnog sektora, projektnu dokumentaciju za novo dječje igralište u Bobovcu kao i kupnju samog zemljišta za navedeno igralište, krajobrazni eleborat za projekt Strategija zelene urbane obnove Općine Dubravica, nabavu računalne opreme i slično. Primici od financijske imovine i zaduživanja u I.kvartalu 2026. godine odnose se na isplatu kredita, ugovorenog sa Zagrebačkom bankom iz protekle godine, na račun Općine Dubravica u preostalom iznosu dakle 436.239,14 eura, naime sukladno ugovoru zaključno razdoblje realizacije kredita bio je datum 31.03.2026. Što se tiće ukupnih izdataka za financijsku imovinu i otplatu zajmova oni se odnose na otplatu kvartalne rate dugoročnog kredita sukladno ugovorenom planu otplate. Na kraju izvještajnog razdoblja ostvaren je višak prihoda i primitaka u iznosu od 183.617,02 € koji je nastao radi ostvarenog viška prihoda poslovanja i viška od financijske imovine i raduživanja.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od nesamostalnog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161.681,95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190.871,75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118,1</w:t>
            </w:r>
          </w:p>
        </w:tc>
      </w:tr>
    </w:tbl>
    <w:p>
      <w:pPr>
        <w:spacing w:before="0" w:after="0"/>
      </w:pPr>
    </w:p>
    <w:p>
      <w:r>
        <w:t xml:space="preserve">Porez na dohodak od nesamostalnog rada povećao se u odnosu na izvještajno razdoblje protekle godine iz razloga što su plaće ekonomski aktivnog stanovništa porasle, te broj zaposlenih s prebivalištem na području Općine Dubravica.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zakupa i iznajmljivanja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9.550,49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827,3</w:t>
            </w:r>
          </w:p>
        </w:tc>
      </w:tr>
    </w:tbl>
    <w:p>
      <w:pPr>
        <w:spacing w:before="0" w:after="0"/>
      </w:pPr>
    </w:p>
    <w:p>
      <w:r>
        <w:t xml:space="preserve">Prihodi od zakupa i iznajmljivanja imovine značajno su se povećali u odnosu na izvještajno razdoblje prethodne godine ,čak 827,3%, više iz razloga što je Općina dala svoj prostor u najam privatnom vrtiću Mali kaj još u 2025. godini, također je iznajmljen još jedan proslovni prostor korisniku Funmaher j.d.o. za potrebe njihovog poslovanja, te se suradnja nastavila u 2026. godini.</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1.567,64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4.166,08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265,8</w:t>
            </w:r>
          </w:p>
        </w:tc>
      </w:tr>
    </w:tbl>
    <w:p>
      <w:pPr>
        <w:spacing w:before="0" w:after="0"/>
      </w:pPr>
    </w:p>
    <w:p>
      <w:r>
        <w:t xml:space="preserve">Rezultat povećanja prihoda od komunalnog doprinosa je naplata potraživanja iz proteklih godina temeljem provođenja mjera naplate, dakle opomena i ovrha.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5.527,97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12.804,02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231,6</w:t>
            </w:r>
          </w:p>
        </w:tc>
      </w:tr>
    </w:tbl>
    <w:p>
      <w:pPr>
        <w:spacing w:before="0" w:after="0"/>
      </w:pPr>
    </w:p>
    <w:p>
      <w:r>
        <w:t xml:space="preserve">Suklano povećanju mrežarine (naknade za distribuciju i prijenos struje), te unatoč Vladinim subvencijama troškovi električne energije su se povećali kao i troškovi ostalih komunalnih usluga koje su nužne za efikasno djelovanje zajednice.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trgovačkim društvima i zadrugama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9.021,59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49.835,16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552,4</w:t>
            </w:r>
          </w:p>
        </w:tc>
      </w:tr>
    </w:tbl>
    <w:p>
      <w:pPr>
        <w:spacing w:before="0" w:after="0"/>
      </w:pPr>
    </w:p>
    <w:p>
      <w:r>
        <w:t xml:space="preserve">Trošak subvencije trgovačkim društvima i zadrugama izvan javnog sektora odnosi se na sufinanciranje primarnog smještaja u vrtiću Mali kaj.  U odnosu na izvještajno razdoblje prošle godine povećao se broj djece, nastala je i potreba za sufinanciranjem pomoćnika za dijete s teškoćama u razvoju, a povećala se i ekonomska cijena vrtića.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977,7</w:t>
            </w:r>
          </w:p>
        </w:tc>
      </w:tr>
    </w:tbl>
    <w:p>
      <w:pPr>
        <w:spacing w:before="0" w:after="0"/>
      </w:pPr>
    </w:p>
    <w:p>
      <w:r>
        <w:t xml:space="preserve">Za 2026. godinu Općina je donjela Odluku o isplati jednokratne novčane pomoći umirovljenicima- USKRSNICA, te su iz tog razloga značajne promjene na naknadama građanima i kućanstvima u novcu.</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kupljeno je zemljište za novo dječje igralište u Bobovcu Rozganskom čija se sveukupna realizacija procjenjuje na 99.000,00 €.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436.239,14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407,7</w:t>
            </w:r>
          </w:p>
        </w:tc>
      </w:tr>
    </w:tbl>
    <w:p>
      <w:pPr>
        <w:spacing w:before="0" w:after="0"/>
      </w:pPr>
    </w:p>
    <w:p>
      <w:r>
        <w:t xml:space="preserve">Ostvareni su značajni prihodi od financijske imovine i zaduživanja iz razloga što je rok realizacije kredita bio 31.03.2026.</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7.216,10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7.216,10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Dugoročno zaduživanje</w:t>
      </w:r>
    </w:p>
    <w:p>
      <w:r>
        <w:t xml:space="preserve">Vlada Republike Hrvatske je na sjednici održanoj 12. svibnja 2022. donijela Odluku o davanju suglasnosti Općini Dubravica  za zaduženje kod Hrvatske banke za obnovu i razvitak, u iznosu od 198.919,32 €, s rokom otplate kredita od deset godina uključujući poček od jedne godine (36 jednakih uzastopnih tromjesečnih rata od kojih je prva dospjela na naplatu 30.09.2024. godine), uz fiksnu godišnju kamatnu stopu od 1,10% i jednokratnu naknadu za obradu kredita u visini 0,2%  od iznosa odobrenog kredita.</w:t>
      </w:r>
    </w:p>
    <w:p>
      <w:r>
        <w:t xml:space="preserve"> </w:t>
      </w:r>
    </w:p>
    <w:p>
      <w:r>
        <w:t xml:space="preserve">Sredstva će se koristiti za financiranje kapitalnih projekata „Rekonstrukcija Kumrovečke ceste izgradnjom nogostupa“ i „Izgradnja poslovne zgrade – ambulanta – Poduzetnički inkubator“, sukladno Odluci Općinskog vijeća Općine Dubravica o dugoročnom kreditnom zaduženju  Općine Dubravica, KLASA: 024-02/22-01/2, URBROJ: 238-40-02-22-3 od 7. ožujka 2022. godine. Ugovor o kreditu s Hrvatskom bankom za obnovu i razvitak sklopljen je dana 27.6.2022.g. Po navedenoj osnovi na dan 31.03.2026. godine,  iznos obveze iznosi 209.266,83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60.431,15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Velik dio dospjelih obveza odnosi se na beskamatne zajamove koji se vraćaju u obračunatim ratama po pojedinačnom dospijeću, točnije 43.373,02 €. Mali dio zajma odnosno obročne otplate poreza na dohodak i prireza porezu na dohodak iz 2020. godine vratiti će se u toku tekuće godine, dok otplata beskamatnog zajma jedinicama lokalne i područne (regionalne) samouprave koje su pogođene posljedicama razornih potresa na području Zagrebačke županije u iznosu od 39.816,84 € kreće također u obrocima počevši od 2027.godine, te mora u potpunosti biti vraćen do kraja 2029.godine. Preostale obveze odnose se na tekuće račune koji su uredno podmireni protekom izvještajnog razdoblja.</w:t>
      </w:r>
    </w:p>
    <w:p/>
    <w:p>
      <w:pPr>
        <w:jc w:val="center"/>
        <w:pStyle w:val="Normal"/>
        <w:spacing w:line="240" w:lineRule="auto"/>
        <w:keepNext/>
      </w:pPr>
      <w:r>
        <w:rPr>
          <w:sz w:val="28"/>
          <w:rFonts w:ascii="Times New Roman" w:hAnsi="Times New Roman"/>
        </w:rPr>
        <w:t xml:space="preserve">Bilješka 12.</w:t>
      </w:r>
    </w:p>
    <w:p>
      <w:pPr>
        <w:jc w:val="both"/>
        <w:pStyle w:val="Normal"/>
        <w:spacing w:line="240" w:lineRule="auto"/>
      </w:pPr>
      <w:r>
        <w:rPr>
          <w:b/>
          <w:sz w:val="24"/>
          <w:rFonts w:ascii="Times New Roman" w:hAnsi="Times New Roman"/>
        </w:rPr>
        <w:t xml:space="preserve">EU izvještaj</w:t>
      </w:r>
    </w:p>
    <w:p>
      <w:r>
        <w:t xml:space="preserve">U izvještajnom razdoblju evidentirani su troškovi na EU projektu Biciklistička staza SUTLA ROAD u iznosu od 161.478,77 € koje se odnose na izgradnju i opremanje biciklističke staze, na provođenje stručnog nadzora i ostvarenje horizontalne aktivnosti, te troškovi na projektu Razvoj zelene urbane obnove Općine koji se odnose na izradu Strategije zelene urbane obnove Općine Dubravica u iznosu 21.250,00 € i na samu projektnu dokumentaciju za istoimeni projekt u iznosu od 2.725,00 €. Također u nastale troškove ubraja se i projektna dokumentacija Energetske obnove zgrade javnog sektora-stara škola. Sukladno prijavama na razne natječaje u idućem izvještajnom razdoblju imati ćemo pobliže definirani iznos sredstava čiji priljev očekujemo. U I.kvartalu 2026. evidentiran je priljev sredstava u iznosu od 25.000,00 € koji smo ostvarili prijavom na natječaj za provedbu intervencije 77.06. Potpora LEADER (CLLD) pristupu iz Strateškog plana Zajedničke poljoprivredne politike Republike Hrvatske 2023.-2027.</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10c747581b7243b2" /></Relationships>
</file>